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1B" w:rsidRDefault="00816CE1">
      <w:r>
        <w:t xml:space="preserve">2023-2024 </w:t>
      </w:r>
      <w:r w:rsidR="00FF79F0">
        <w:t xml:space="preserve">COMBINED PAR AND ULO TIMELINE </w:t>
      </w:r>
    </w:p>
    <w:tbl>
      <w:tblPr>
        <w:tblStyle w:val="TableGrid"/>
        <w:tblW w:w="14875" w:type="dxa"/>
        <w:tblInd w:w="-888" w:type="dxa"/>
        <w:tblCellMar>
          <w:top w:w="11" w:type="dxa"/>
          <w:left w:w="41" w:type="dxa"/>
          <w:right w:w="7" w:type="dxa"/>
        </w:tblCellMar>
        <w:tblLook w:val="04A0" w:firstRow="1" w:lastRow="0" w:firstColumn="1" w:lastColumn="0" w:noHBand="0" w:noVBand="1"/>
      </w:tblPr>
      <w:tblGrid>
        <w:gridCol w:w="1406"/>
        <w:gridCol w:w="6151"/>
        <w:gridCol w:w="3254"/>
        <w:gridCol w:w="4064"/>
      </w:tblGrid>
      <w:tr w:rsidR="00B5431B">
        <w:trPr>
          <w:trHeight w:val="529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PROGRAMS/FACULTY ACTIONS 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INSTITUTIONAL RESEARCH ACTIONS </w:t>
            </w: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UNIVERSITY FOUNDATIONS &amp; GEC ACTIONS </w:t>
            </w:r>
          </w:p>
        </w:tc>
      </w:tr>
      <w:tr w:rsidR="00B5431B">
        <w:trPr>
          <w:trHeight w:val="1252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August - </w:t>
            </w:r>
          </w:p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September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Departments with </w:t>
            </w:r>
            <w:r w:rsidR="00816CE1">
              <w:rPr>
                <w:rFonts w:ascii="Times New Roman" w:eastAsia="Times New Roman" w:hAnsi="Times New Roman" w:cs="Times New Roman"/>
                <w:b w:val="0"/>
                <w:sz w:val="20"/>
              </w:rPr>
              <w:t>PAR reports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due in </w:t>
            </w:r>
          </w:p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the current academic year are notified in August. PAR-FDR </w:t>
            </w:r>
          </w:p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organizing/informational meetings are held. </w:t>
            </w: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816CE1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Departments with</w:t>
            </w:r>
            <w:r w:rsidR="00FF79F0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Foundations of the Discipline Reports (FDRs) due in the current academic year are notified in August. PAR-UF organizing/informational meetings are held. </w:t>
            </w:r>
          </w:p>
        </w:tc>
      </w:tr>
      <w:tr w:rsidR="00B5431B">
        <w:trPr>
          <w:trHeight w:val="1021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September - December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Dept./program reps attend organizing meetings; participate in CTL workshops; seek consultations (as needed); review previous reports, reflect on progress made since the last report, and decide upon a focus for updates or revisions. 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</w:tr>
      <w:tr w:rsidR="00B5431B">
        <w:trPr>
          <w:trHeight w:val="1020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October - </w:t>
            </w:r>
          </w:p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December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Dept. reps consult with FD faculty and ensure they are prepared to complete the FD survey in January. For example, clarifying common assignments to be used (if any). 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Faculty who teach Foundations of the Discipline (FD) courses for non-majors are sent further information in October about FD faculty ULO assessment survey due January 2</w:t>
            </w:r>
            <w:r>
              <w:rPr>
                <w:rFonts w:ascii="Times New Roman" w:eastAsia="Times New Roman" w:hAnsi="Times New Roman" w:cs="Times New Roman"/>
                <w:b w:val="0"/>
                <w:sz w:val="31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 </w:t>
            </w:r>
          </w:p>
        </w:tc>
      </w:tr>
      <w:tr w:rsidR="00B5431B">
        <w:trPr>
          <w:trHeight w:val="331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January </w:t>
            </w:r>
            <w:r w:rsidR="00BD4810">
              <w:rPr>
                <w:rFonts w:ascii="Times New Roman" w:eastAsia="Times New Roman" w:hAnsi="Times New Roman" w:cs="Times New Roman"/>
                <w:color w:val="FFFFFF"/>
                <w:sz w:val="20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FD Faculty Surveys about ULO assessment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DUE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by January 2</w:t>
            </w:r>
            <w:r>
              <w:rPr>
                <w:rFonts w:ascii="Times New Roman" w:eastAsia="Times New Roman" w:hAnsi="Times New Roman" w:cs="Times New Roman"/>
                <w:b w:val="0"/>
                <w:sz w:val="31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 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</w:tr>
      <w:tr w:rsidR="00B5431B">
        <w:trPr>
          <w:trHeight w:val="792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 w:right="24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January - April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 w:right="31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Depts./programs gather and evaluate evidence of student learning; discuss findings/observations; participate in CTL workshops; seek consultations (as needed); write reports. 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Solicit, select, and train peer reviewers </w:t>
            </w: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</w:tr>
      <w:tr w:rsidR="00B5431B">
        <w:trPr>
          <w:trHeight w:val="790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February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Departments with reports due during next academic year are notified. </w:t>
            </w: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 w:right="208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Results of FD Faculty Surveys reported back to department chairs and course coordinators by February 15. </w:t>
            </w:r>
          </w:p>
        </w:tc>
      </w:tr>
      <w:tr w:rsidR="00B5431B">
        <w:trPr>
          <w:trHeight w:val="1481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May 1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spacing w:after="1" w:line="242" w:lineRule="auto"/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Program Assessment Reports and Foundations of the Discipline Reports (where applicable) are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DUE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 </w:t>
            </w:r>
          </w:p>
          <w:p w:rsidR="00B5431B" w:rsidRDefault="00FF79F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PAR: report templates I &amp; II and curriculum map template.</w:t>
            </w:r>
          </w:p>
          <w:p w:rsidR="00B5431B" w:rsidRDefault="00FF79F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FDR: Depts./programs that offer Foundations of the Discipline courses to non-majors complete one report template for each of their general education courses.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</w:tr>
      <w:tr w:rsidR="00B5431B">
        <w:trPr>
          <w:trHeight w:val="792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May 1 – </w:t>
            </w:r>
          </w:p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June 15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Peer review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teams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complete evaluations, provide feedback on PARs. </w:t>
            </w: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GEC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teams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complete evaluations and provide feedback on ULO Assessment Reports. </w:t>
            </w:r>
          </w:p>
        </w:tc>
      </w:tr>
      <w:tr w:rsidR="00B5431B">
        <w:trPr>
          <w:trHeight w:val="560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June - August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Feedback assembled and provided to departments. </w:t>
            </w: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Feedback assembled and provided to departments. </w:t>
            </w:r>
          </w:p>
        </w:tc>
      </w:tr>
      <w:tr w:rsidR="00B5431B">
        <w:trPr>
          <w:trHeight w:val="791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August – </w:t>
            </w:r>
          </w:p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September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Receive feedback from reviews, discuss feedback and next steps. 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FDR report </w:t>
            </w:r>
            <w:r w:rsidR="00816CE1">
              <w:rPr>
                <w:rFonts w:ascii="Times New Roman" w:eastAsia="Times New Roman" w:hAnsi="Times New Roman" w:cs="Times New Roman"/>
                <w:b w:val="0"/>
                <w:sz w:val="20"/>
              </w:rPr>
              <w:t>summary posted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to website, shared with departments, discussed at UF Faculty </w:t>
            </w:r>
          </w:p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Summit </w:t>
            </w:r>
          </w:p>
        </w:tc>
      </w:tr>
      <w:tr w:rsidR="00B5431B">
        <w:trPr>
          <w:trHeight w:val="562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BD481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lastRenderedPageBreak/>
              <w:t>November 1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FF79F0">
            <w:pPr>
              <w:ind w:left="4" w:right="28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Departments/programs submit PAR Follow-up Report of the discussion and summary of actions to be taken. </w:t>
            </w: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</w:tr>
    </w:tbl>
    <w:p w:rsidR="00B5431B" w:rsidRDefault="00B5431B">
      <w:pPr>
        <w:ind w:left="-1440" w:right="14400"/>
      </w:pPr>
    </w:p>
    <w:tbl>
      <w:tblPr>
        <w:tblStyle w:val="TableGrid"/>
        <w:tblW w:w="14875" w:type="dxa"/>
        <w:tblInd w:w="-888" w:type="dxa"/>
        <w:tblCellMar>
          <w:top w:w="24" w:type="dxa"/>
          <w:left w:w="41" w:type="dxa"/>
          <w:right w:w="7" w:type="dxa"/>
        </w:tblCellMar>
        <w:tblLook w:val="04A0" w:firstRow="1" w:lastRow="0" w:firstColumn="1" w:lastColumn="0" w:noHBand="0" w:noVBand="1"/>
      </w:tblPr>
      <w:tblGrid>
        <w:gridCol w:w="1406"/>
        <w:gridCol w:w="6151"/>
        <w:gridCol w:w="3254"/>
        <w:gridCol w:w="4064"/>
      </w:tblGrid>
      <w:tr w:rsidR="00B5431B">
        <w:trPr>
          <w:trHeight w:val="1003"/>
        </w:trPr>
        <w:tc>
          <w:tcPr>
            <w:tcW w:w="1405" w:type="dxa"/>
            <w:tcBorders>
              <w:top w:val="single" w:sz="6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BD481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December</w:t>
            </w:r>
            <w:r w:rsidR="00FF79F0"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6151" w:type="dxa"/>
            <w:tcBorders>
              <w:top w:val="single" w:sz="6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FF79F0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PLOs updated on the assessment website; summary reports are shared with dean, provost, and other admin /governance as needed.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5431B" w:rsidRDefault="00B5431B">
            <w:pPr>
              <w:spacing w:after="160"/>
              <w:ind w:left="0"/>
            </w:pPr>
          </w:p>
        </w:tc>
      </w:tr>
      <w:tr w:rsidR="00B5431B">
        <w:trPr>
          <w:trHeight w:val="791"/>
        </w:trPr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E5395"/>
          </w:tcPr>
          <w:p w:rsidR="00B5431B" w:rsidRDefault="00FF79F0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January 25 </w:t>
            </w:r>
          </w:p>
        </w:tc>
        <w:tc>
          <w:tcPr>
            <w:tcW w:w="61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3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B5431B">
            <w:pPr>
              <w:spacing w:after="160"/>
              <w:ind w:left="0"/>
            </w:pPr>
          </w:p>
        </w:tc>
        <w:tc>
          <w:tcPr>
            <w:tcW w:w="4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:rsidR="00B5431B" w:rsidRDefault="00816CE1">
            <w:pPr>
              <w:ind w:left="4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Departments that</w:t>
            </w:r>
            <w:r w:rsidR="00FF79F0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offer general ed courses turn in follow-up course review materials to the GEC during the year following initial ULO reporting. </w:t>
            </w:r>
          </w:p>
        </w:tc>
      </w:tr>
    </w:tbl>
    <w:p w:rsidR="00FF79F0" w:rsidRDefault="00FF79F0"/>
    <w:sectPr w:rsidR="00FF79F0">
      <w:pgSz w:w="15840" w:h="12240" w:orient="landscape"/>
      <w:pgMar w:top="729" w:right="1440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20AE"/>
    <w:multiLevelType w:val="hybridMultilevel"/>
    <w:tmpl w:val="C954562A"/>
    <w:lvl w:ilvl="0" w:tplc="1958A940">
      <w:start w:val="1"/>
      <w:numFmt w:val="bullet"/>
      <w:lvlText w:val="-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E0DC4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C5B9C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A1818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81CB0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4CA42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2EA7A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86A34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47592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1B"/>
    <w:rsid w:val="00816CE1"/>
    <w:rsid w:val="009F446D"/>
    <w:rsid w:val="00B5431B"/>
    <w:rsid w:val="00BD481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B51D"/>
  <w15:docId w15:val="{DA03275E-CAE3-4D85-9926-AB3432AC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72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Plascencia</dc:creator>
  <cp:keywords/>
  <cp:lastModifiedBy>Martha Plascencia</cp:lastModifiedBy>
  <cp:revision>2</cp:revision>
  <dcterms:created xsi:type="dcterms:W3CDTF">2023-09-01T14:24:00Z</dcterms:created>
  <dcterms:modified xsi:type="dcterms:W3CDTF">2023-09-01T14:24:00Z</dcterms:modified>
</cp:coreProperties>
</file>